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993" w:rsidRPr="00C57A5A" w:rsidRDefault="00182993" w:rsidP="00182993">
      <w:pPr>
        <w:pStyle w:val="a5"/>
        <w:keepLines/>
        <w:tabs>
          <w:tab w:val="right" w:pos="10440"/>
          <w:tab w:val="right" w:pos="13323"/>
        </w:tabs>
        <w:rPr>
          <w:rFonts w:asciiTheme="minorHAnsi" w:eastAsiaTheme="minorEastAsia" w:hAnsiTheme="minorHAnsi" w:cs="Arial"/>
          <w:bCs/>
          <w:noProof w:val="0"/>
          <w:sz w:val="22"/>
          <w:szCs w:val="22"/>
          <w:lang w:eastAsia="zh-CN"/>
        </w:rPr>
      </w:pPr>
      <w:r w:rsidRPr="00EB7856">
        <w:rPr>
          <w:rFonts w:asciiTheme="minorHAnsi" w:eastAsiaTheme="minorEastAsia" w:hAnsiTheme="minorHAnsi" w:cs="Arial"/>
          <w:bCs/>
          <w:noProof w:val="0"/>
          <w:sz w:val="22"/>
          <w:szCs w:val="22"/>
          <w:lang w:eastAsia="zh-CN"/>
        </w:rPr>
        <w:t>3GPP TSG-RAN WG4 Meeting # 94-e-Bis</w:t>
      </w:r>
      <w:r>
        <w:rPr>
          <w:rFonts w:asciiTheme="minorHAnsi" w:eastAsiaTheme="minorEastAsia" w:hAnsiTheme="minorHAnsi" w:cs="Arial"/>
          <w:bCs/>
          <w:noProof w:val="0"/>
          <w:sz w:val="22"/>
          <w:szCs w:val="22"/>
          <w:lang w:eastAsia="zh-CN"/>
        </w:rPr>
        <w:t xml:space="preserve">             </w:t>
      </w:r>
      <w:r w:rsidR="00D5557D">
        <w:rPr>
          <w:rFonts w:asciiTheme="minorHAnsi" w:eastAsiaTheme="minorEastAsia" w:hAnsiTheme="minorHAnsi" w:cs="Arial"/>
          <w:bCs/>
          <w:noProof w:val="0"/>
          <w:sz w:val="22"/>
          <w:szCs w:val="22"/>
          <w:lang w:eastAsia="zh-CN"/>
        </w:rPr>
        <w:t xml:space="preserve">                               </w:t>
      </w:r>
      <w:bookmarkStart w:id="0" w:name="_GoBack"/>
      <w:bookmarkEnd w:id="0"/>
      <w:r>
        <w:rPr>
          <w:rFonts w:asciiTheme="minorHAnsi" w:eastAsiaTheme="minorEastAsia" w:hAnsiTheme="minorHAnsi" w:cs="Arial"/>
          <w:bCs/>
          <w:noProof w:val="0"/>
          <w:sz w:val="22"/>
          <w:szCs w:val="22"/>
          <w:lang w:eastAsia="zh-CN"/>
        </w:rPr>
        <w:t>R4-200</w:t>
      </w:r>
      <w:r w:rsidR="00D5557D" w:rsidRPr="00D5557D">
        <w:rPr>
          <w:rFonts w:asciiTheme="minorHAnsi" w:eastAsiaTheme="minorEastAsia" w:hAnsiTheme="minorHAnsi" w:cs="Arial"/>
          <w:bCs/>
          <w:noProof w:val="0"/>
          <w:sz w:val="22"/>
          <w:szCs w:val="22"/>
          <w:lang w:eastAsia="zh-CN"/>
        </w:rPr>
        <w:t>3611</w:t>
      </w:r>
    </w:p>
    <w:p w:rsidR="00182993" w:rsidRPr="009172D5" w:rsidRDefault="00182993" w:rsidP="00182993">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9172D5">
        <w:rPr>
          <w:rFonts w:asciiTheme="minorHAnsi" w:eastAsiaTheme="minorEastAsia" w:hAnsiTheme="minorHAnsi" w:cs="Arial"/>
          <w:bCs/>
          <w:noProof w:val="0"/>
          <w:sz w:val="22"/>
          <w:szCs w:val="22"/>
          <w:lang w:eastAsia="zh-CN"/>
        </w:rPr>
        <w:t>Electronic Meeting, 20</w:t>
      </w:r>
      <w:r w:rsidRPr="009172D5">
        <w:rPr>
          <w:rFonts w:asciiTheme="minorHAnsi" w:eastAsiaTheme="minorEastAsia" w:hAnsiTheme="minorHAnsi" w:cs="Arial" w:hint="eastAsia"/>
          <w:bCs/>
          <w:noProof w:val="0"/>
          <w:sz w:val="22"/>
          <w:szCs w:val="22"/>
          <w:lang w:eastAsia="zh-CN"/>
        </w:rPr>
        <w:t xml:space="preserve"> </w:t>
      </w:r>
      <w:r w:rsidRPr="009172D5">
        <w:rPr>
          <w:rFonts w:asciiTheme="minorHAnsi" w:eastAsiaTheme="minorEastAsia" w:hAnsiTheme="minorHAnsi" w:cs="Arial"/>
          <w:bCs/>
          <w:noProof w:val="0"/>
          <w:sz w:val="22"/>
          <w:szCs w:val="22"/>
          <w:lang w:eastAsia="zh-CN"/>
        </w:rPr>
        <w:t>–</w:t>
      </w:r>
      <w:r w:rsidRPr="009172D5">
        <w:rPr>
          <w:rFonts w:asciiTheme="minorHAnsi" w:eastAsiaTheme="minorEastAsia" w:hAnsiTheme="minorHAnsi" w:cs="Arial" w:hint="eastAsia"/>
          <w:bCs/>
          <w:noProof w:val="0"/>
          <w:sz w:val="22"/>
          <w:szCs w:val="22"/>
          <w:lang w:eastAsia="zh-CN"/>
        </w:rPr>
        <w:t xml:space="preserve"> </w:t>
      </w:r>
      <w:r w:rsidRPr="009172D5">
        <w:rPr>
          <w:rFonts w:asciiTheme="minorHAnsi" w:eastAsiaTheme="minorEastAsia" w:hAnsiTheme="minorHAnsi" w:cs="Arial"/>
          <w:bCs/>
          <w:noProof w:val="0"/>
          <w:sz w:val="22"/>
          <w:szCs w:val="22"/>
          <w:lang w:eastAsia="zh-CN"/>
        </w:rPr>
        <w:t>30 Apr., 2020</w:t>
      </w: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F81169">
        <w:rPr>
          <w:rFonts w:cs="Arial"/>
          <w:b/>
          <w:bCs/>
        </w:rPr>
        <w:t>4</w:t>
      </w:r>
      <w:r w:rsidR="00132EA3">
        <w:rPr>
          <w:rFonts w:cs="Arial"/>
          <w:b/>
          <w:bCs/>
        </w:rPr>
        <w:t>.</w:t>
      </w:r>
      <w:r w:rsidR="00F81169">
        <w:rPr>
          <w:rFonts w:cs="Arial"/>
          <w:b/>
          <w:bCs/>
        </w:rPr>
        <w:t>9.8</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E31ED3">
        <w:rPr>
          <w:b/>
        </w:rPr>
        <w:t xml:space="preserve">Scheduling restriction due to </w:t>
      </w:r>
      <w:r w:rsidR="008757BE">
        <w:rPr>
          <w:b/>
        </w:rPr>
        <w:t>SSB configured for aperiodic L1-RSRP reporting</w:t>
      </w:r>
      <w:r w:rsidR="00E56ECF">
        <w:rPr>
          <w:b/>
        </w:rPr>
        <w:t xml:space="preserve"> on FR2</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rsidR="0090012D" w:rsidRPr="008A2C2B" w:rsidRDefault="00DE472F" w:rsidP="001E3BD8">
      <w:pPr>
        <w:jc w:val="both"/>
      </w:pPr>
      <w:r>
        <w:t>S</w:t>
      </w:r>
      <w:r w:rsidRPr="00BE78B0">
        <w:rPr>
          <w:lang w:eastAsia="ja-JP"/>
        </w:rPr>
        <w:t>cheduling restrictions</w:t>
      </w:r>
      <w:r>
        <w:rPr>
          <w:lang w:eastAsia="ja-JP"/>
        </w:rPr>
        <w:t xml:space="preserve"> has been introduced on</w:t>
      </w:r>
      <w:r w:rsidRPr="00BE78B0">
        <w:rPr>
          <w:lang w:eastAsia="ja-JP"/>
        </w:rPr>
        <w:t xml:space="preserve"> </w:t>
      </w:r>
      <w:r>
        <w:rPr>
          <w:lang w:eastAsia="ja-JP"/>
        </w:rPr>
        <w:t>“</w:t>
      </w:r>
      <w:r w:rsidRPr="00BE78B0">
        <w:rPr>
          <w:rFonts w:eastAsia="MS Mincho"/>
          <w:lang w:eastAsia="ja-JP"/>
        </w:rPr>
        <w:t>RS for L1-RSRP measurement</w:t>
      </w:r>
      <w:r w:rsidRPr="00BE78B0">
        <w:rPr>
          <w:lang w:eastAsia="ja-JP"/>
        </w:rPr>
        <w:t xml:space="preserve"> symbols to be measured</w:t>
      </w:r>
      <w:r>
        <w:rPr>
          <w:lang w:eastAsia="ja-JP"/>
        </w:rPr>
        <w:t>”.</w:t>
      </w:r>
      <w:r w:rsidRPr="00BE78B0">
        <w:rPr>
          <w:lang w:eastAsia="ja-JP"/>
        </w:rPr>
        <w:t xml:space="preserve"> </w:t>
      </w:r>
      <w:r>
        <w:t>In this paper</w:t>
      </w:r>
      <w:r>
        <w:rPr>
          <w:szCs w:val="20"/>
        </w:rPr>
        <w:t>, further clarification on “</w:t>
      </w:r>
      <w:r w:rsidRPr="00BE78B0">
        <w:rPr>
          <w:lang w:eastAsia="ja-JP"/>
        </w:rPr>
        <w:t>symbols to be measured</w:t>
      </w:r>
      <w:r>
        <w:rPr>
          <w:szCs w:val="20"/>
        </w:rPr>
        <w:t xml:space="preserve">” is discussed for SSB configured for aperiodic L1-RSRP reporting. </w:t>
      </w:r>
      <w:r w:rsidR="001E3BD8" w:rsidRPr="008A2C2B">
        <w:t xml:space="preserve"> </w:t>
      </w:r>
    </w:p>
    <w:p w:rsidR="00342381" w:rsidRPr="00342381" w:rsidRDefault="001E3BD8" w:rsidP="00342381">
      <w:pPr>
        <w:pStyle w:val="1"/>
        <w:numPr>
          <w:ilvl w:val="0"/>
          <w:numId w:val="1"/>
        </w:numPr>
        <w:rPr>
          <w:rFonts w:ascii="Calibri" w:hAnsi="Calibri"/>
        </w:rPr>
      </w:pPr>
      <w:r>
        <w:rPr>
          <w:rFonts w:ascii="Calibri" w:hAnsi="Calibri"/>
        </w:rPr>
        <w:t>Discussion</w:t>
      </w:r>
    </w:p>
    <w:p w:rsidR="00E31ED3" w:rsidRDefault="00E31ED3" w:rsidP="00F87B6C">
      <w:pPr>
        <w:jc w:val="both"/>
        <w:rPr>
          <w:lang w:eastAsia="en-US"/>
        </w:rPr>
      </w:pPr>
      <w:r>
        <w:rPr>
          <w:lang w:eastAsia="en-US"/>
        </w:rPr>
        <w:t>The scheduling restriction due to L1-RSRP has been introduced as the following</w:t>
      </w:r>
      <w:r w:rsidR="00971F0E">
        <w:rPr>
          <w:lang w:eastAsia="en-US"/>
        </w:rPr>
        <w:t xml:space="preserve"> [1]</w:t>
      </w:r>
      <w:r>
        <w:rPr>
          <w:lang w:eastAsia="en-US"/>
        </w:rPr>
        <w:t xml:space="preserve">: </w:t>
      </w:r>
    </w:p>
    <w:p w:rsidR="00E31ED3" w:rsidRDefault="00E31ED3" w:rsidP="00F87B6C">
      <w:pPr>
        <w:jc w:val="both"/>
        <w:rPr>
          <w:lang w:eastAsia="en-US"/>
        </w:rPr>
      </w:pPr>
      <w:r>
        <w:rPr>
          <w:lang w:eastAsia="en-US"/>
        </w:rPr>
        <w:t>-----------------------------------------------------------------------------------------------------------------------------------------</w:t>
      </w:r>
    </w:p>
    <w:p w:rsidR="00E31ED3" w:rsidRPr="00E31ED3" w:rsidRDefault="00E31ED3" w:rsidP="00E31ED3">
      <w:pPr>
        <w:keepNext/>
        <w:spacing w:before="120"/>
        <w:ind w:left="1418" w:hanging="1418"/>
        <w:rPr>
          <w:rFonts w:ascii="Arial" w:hAnsi="Arial" w:cs="Arial"/>
          <w:sz w:val="24"/>
          <w:szCs w:val="24"/>
          <w:lang w:eastAsia="en-US"/>
        </w:rPr>
      </w:pPr>
      <w:r w:rsidRPr="00E31ED3">
        <w:rPr>
          <w:rFonts w:ascii="Arial" w:hAnsi="Arial" w:cs="Arial"/>
          <w:sz w:val="24"/>
          <w:szCs w:val="24"/>
        </w:rPr>
        <w:t>9.5.6.3            Scheduling availability of UE performing L1-RSRP measurement on FR2</w:t>
      </w:r>
    </w:p>
    <w:p w:rsidR="00E31ED3" w:rsidRPr="00E31ED3" w:rsidRDefault="00E31ED3" w:rsidP="00E31ED3">
      <w:pPr>
        <w:rPr>
          <w:rFonts w:ascii="Times New Roman" w:hAnsi="Times New Roman" w:cs="Times New Roman"/>
          <w:sz w:val="20"/>
          <w:szCs w:val="20"/>
          <w:lang w:eastAsia="ja-JP"/>
        </w:rPr>
      </w:pPr>
      <w:r w:rsidRPr="00E31ED3">
        <w:rPr>
          <w:lang w:eastAsia="en-US"/>
        </w:rPr>
        <w:br/>
      </w:r>
      <w:r w:rsidRPr="00E31ED3">
        <w:t xml:space="preserve">The following scheduling restriction applies due to </w:t>
      </w:r>
      <w:r w:rsidRPr="00E31ED3">
        <w:rPr>
          <w:lang w:eastAsia="ja-JP"/>
        </w:rPr>
        <w:t>L1-RSRP measurement.</w:t>
      </w:r>
    </w:p>
    <w:p w:rsidR="00E31ED3" w:rsidRPr="00E31ED3" w:rsidRDefault="00E31ED3" w:rsidP="00E31ED3">
      <w:pPr>
        <w:ind w:left="568" w:hanging="284"/>
        <w:rPr>
          <w:rFonts w:ascii="Calibri" w:hAnsi="Calibri" w:cs="新細明體"/>
        </w:rPr>
      </w:pPr>
      <w:r w:rsidRPr="00E31ED3">
        <w:t xml:space="preserve">-     For the case where </w:t>
      </w:r>
      <w:r w:rsidRPr="00E31ED3">
        <w:rPr>
          <w:lang w:eastAsia="ja-JP"/>
        </w:rPr>
        <w:t>RS for L1-RSRP measurement</w:t>
      </w:r>
      <w:r w:rsidRPr="00E31ED3">
        <w:t xml:space="preserve"> is CSI-RS which is QCLed with active TCI state for PDCCH/PDSCH and not in a CSI-RS resource set with repetition ON, and N=1 applies as specified in clause 9.4.5.2</w:t>
      </w:r>
    </w:p>
    <w:p w:rsidR="00E31ED3" w:rsidRPr="00E31ED3" w:rsidRDefault="00E31ED3" w:rsidP="00E31ED3">
      <w:pPr>
        <w:ind w:left="852" w:hanging="284"/>
        <w:rPr>
          <w:lang w:eastAsia="ja-JP"/>
        </w:rPr>
      </w:pPr>
      <w:r w:rsidRPr="00E31ED3">
        <w:t xml:space="preserve">-     </w:t>
      </w:r>
      <w:r w:rsidRPr="00E31ED3">
        <w:rPr>
          <w:lang w:eastAsia="ja-JP"/>
        </w:rPr>
        <w:t>There are no scheduling restrictions due to L1-RSRP measurement performed based on the CSI-RS.</w:t>
      </w:r>
    </w:p>
    <w:p w:rsidR="00E31ED3" w:rsidRPr="00E31ED3" w:rsidRDefault="00E31ED3" w:rsidP="00E31ED3">
      <w:pPr>
        <w:ind w:left="568" w:hanging="284"/>
      </w:pPr>
      <w:r w:rsidRPr="00E31ED3">
        <w:t>-     Otherwise</w:t>
      </w:r>
    </w:p>
    <w:p w:rsidR="00E31ED3" w:rsidRPr="00E31ED3" w:rsidRDefault="00E31ED3" w:rsidP="00E31ED3">
      <w:pPr>
        <w:ind w:left="852" w:hanging="284"/>
        <w:rPr>
          <w:lang w:eastAsia="ja-JP"/>
        </w:rPr>
      </w:pPr>
      <w:r w:rsidRPr="00E31ED3">
        <w:t xml:space="preserve">-     </w:t>
      </w:r>
      <w:r w:rsidRPr="00E31ED3">
        <w:rPr>
          <w:lang w:eastAsia="ja-JP"/>
        </w:rPr>
        <w:t>The UE is not expected to transmit PUCCH/PUSCH/SRS or receive PDCCH/PDSCH</w:t>
      </w:r>
      <w:r w:rsidRPr="00E31ED3">
        <w:t>/CSI-RS for tracking/CSI-RS for CQI</w:t>
      </w:r>
      <w:r w:rsidRPr="00E31ED3">
        <w:rPr>
          <w:lang w:eastAsia="ja-JP"/>
        </w:rPr>
        <w:t xml:space="preserve"> on </w:t>
      </w:r>
      <w:r w:rsidRPr="00E31ED3">
        <w:rPr>
          <w:highlight w:val="cyan"/>
          <w:lang w:eastAsia="ja-JP"/>
        </w:rPr>
        <w:t>RS for L1-RSRP measurement symbols to be measured</w:t>
      </w:r>
      <w:r w:rsidRPr="00E31ED3">
        <w:rPr>
          <w:lang w:eastAsia="ja-JP"/>
        </w:rPr>
        <w:t xml:space="preserve"> for L1-RSRP measurement.</w:t>
      </w:r>
    </w:p>
    <w:p w:rsidR="00E31ED3" w:rsidRPr="00E31ED3" w:rsidRDefault="00E31ED3" w:rsidP="00E31ED3">
      <w:r w:rsidRPr="00E31ED3">
        <w:t>When intra-band carrier aggregation is performed, the scheduling restrictions on serving cell where L1-RSRP measurement is performed apply to all serving cells in the band on the symbols that fully or partially overlap with restricted symbols.</w:t>
      </w:r>
    </w:p>
    <w:p w:rsidR="00E31ED3" w:rsidRDefault="00E31ED3" w:rsidP="00F87B6C">
      <w:pPr>
        <w:jc w:val="both"/>
        <w:rPr>
          <w:lang w:eastAsia="en-US"/>
        </w:rPr>
      </w:pPr>
      <w:r>
        <w:rPr>
          <w:lang w:eastAsia="en-US"/>
        </w:rPr>
        <w:t>---------------------------------------------------------------------------------------------------------------------------------------------</w:t>
      </w:r>
    </w:p>
    <w:p w:rsidR="009B38F0" w:rsidRDefault="009B38F0" w:rsidP="00F87B6C">
      <w:pPr>
        <w:jc w:val="both"/>
        <w:rPr>
          <w:lang w:eastAsia="en-US"/>
        </w:rPr>
      </w:pPr>
    </w:p>
    <w:p w:rsidR="00B20018" w:rsidRDefault="00B20018" w:rsidP="00F87B6C">
      <w:pPr>
        <w:jc w:val="both"/>
        <w:rPr>
          <w:lang w:eastAsia="en-US"/>
        </w:rPr>
      </w:pPr>
    </w:p>
    <w:p w:rsidR="000525F9" w:rsidRDefault="000525F9" w:rsidP="000525F9">
      <w:pPr>
        <w:jc w:val="both"/>
      </w:pPr>
      <w:r>
        <w:rPr>
          <w:lang w:eastAsia="en-US"/>
        </w:rPr>
        <w:t xml:space="preserve">Regarding the case of SSB configured for aperiodic L1-RSRP reporting, gNB and UE would have different understanding on </w:t>
      </w:r>
      <w:r w:rsidR="007E0348">
        <w:rPr>
          <w:lang w:eastAsia="en-US"/>
        </w:rPr>
        <w:t>“</w:t>
      </w:r>
      <w:r w:rsidRPr="00BE78B0">
        <w:rPr>
          <w:rFonts w:eastAsia="MS Mincho"/>
          <w:lang w:eastAsia="ja-JP"/>
        </w:rPr>
        <w:t>RS for L1-RSRP measurement</w:t>
      </w:r>
      <w:r w:rsidRPr="00BE78B0">
        <w:rPr>
          <w:lang w:eastAsia="ja-JP"/>
        </w:rPr>
        <w:t xml:space="preserve"> symbols to be measured</w:t>
      </w:r>
      <w:r>
        <w:rPr>
          <w:lang w:eastAsia="ja-JP"/>
        </w:rPr>
        <w:t xml:space="preserve">”. </w:t>
      </w:r>
      <w:r w:rsidR="007E0348">
        <w:rPr>
          <w:lang w:eastAsia="ja-JP"/>
        </w:rPr>
        <w:t>For example, should UE keep measuring it once configured, or only measur</w:t>
      </w:r>
      <w:r w:rsidR="001A52B8">
        <w:rPr>
          <w:lang w:eastAsia="ja-JP"/>
        </w:rPr>
        <w:t>e</w:t>
      </w:r>
      <w:r w:rsidR="007E0348">
        <w:rPr>
          <w:lang w:eastAsia="ja-JP"/>
        </w:rPr>
        <w:t xml:space="preserve"> it after receiving </w:t>
      </w:r>
      <w:r w:rsidR="00D13F73">
        <w:rPr>
          <w:lang w:eastAsia="ja-JP"/>
        </w:rPr>
        <w:t xml:space="preserve">the </w:t>
      </w:r>
      <w:r w:rsidR="007E0348">
        <w:rPr>
          <w:lang w:eastAsia="ja-JP"/>
        </w:rPr>
        <w:t>DCI that triggers the aperiodic report</w:t>
      </w:r>
      <w:r w:rsidR="00384B8E">
        <w:rPr>
          <w:lang w:eastAsia="ja-JP"/>
        </w:rPr>
        <w:t>?</w:t>
      </w:r>
      <w:r w:rsidR="007E0348">
        <w:rPr>
          <w:lang w:eastAsia="ja-JP"/>
        </w:rPr>
        <w:t xml:space="preserve"> </w:t>
      </w:r>
    </w:p>
    <w:p w:rsidR="00502FFA" w:rsidRDefault="00E56ECF" w:rsidP="00F87B6C">
      <w:pPr>
        <w:jc w:val="both"/>
      </w:pPr>
      <w:r>
        <w:lastRenderedPageBreak/>
        <w:t xml:space="preserve">As illustrated in Figure 1, if </w:t>
      </w:r>
      <w:r w:rsidRPr="00E56ECF">
        <w:t xml:space="preserve">the scheduling restriction is based on reporting triggering, UE will not have enough time to perform </w:t>
      </w:r>
      <w:r>
        <w:t xml:space="preserve">SSB based L1-RSRP </w:t>
      </w:r>
      <w:r w:rsidRPr="00E56ECF">
        <w:t xml:space="preserve">measurement, because </w:t>
      </w:r>
      <w:r w:rsidRPr="00E56ECF">
        <w:rPr>
          <w:lang w:val="en-GB"/>
        </w:rPr>
        <w:t>the UL resource provided for aperiodic report is only up to 32 slots (i.e.  </w:t>
      </w:r>
      <w:r w:rsidRPr="00E56ECF">
        <w:rPr>
          <w:i/>
          <w:iCs/>
        </w:rPr>
        <w:t>reportSlotOffsetList</w:t>
      </w:r>
      <w:r w:rsidRPr="00E56ECF">
        <w:rPr>
          <w:lang w:val="en-GB"/>
        </w:rPr>
        <w:t>) away from the trig</w:t>
      </w:r>
      <w:r w:rsidR="00F91CFC">
        <w:rPr>
          <w:lang w:val="en-GB"/>
        </w:rPr>
        <w:t>gering, as specified in 5.2.1.4,</w:t>
      </w:r>
      <w:r w:rsidRPr="00E56ECF">
        <w:rPr>
          <w:lang w:val="en-GB"/>
        </w:rPr>
        <w:t xml:space="preserve"> TS38.214</w:t>
      </w:r>
      <w:r>
        <w:rPr>
          <w:lang w:val="en-GB"/>
        </w:rPr>
        <w:t>, while the T</w:t>
      </w:r>
      <w:r>
        <w:rPr>
          <w:vertAlign w:val="subscript"/>
          <w:lang w:val="en-GB"/>
        </w:rPr>
        <w:t xml:space="preserve">L1-RSRP_Measurement_Period_SSB </w:t>
      </w:r>
      <w:r>
        <w:rPr>
          <w:lang w:val="en-GB"/>
        </w:rPr>
        <w:t>(ms) for FR2 is 8 ~ 24 SSB periodicities, which is much longer than 32 slots.</w:t>
      </w:r>
      <w:r w:rsidR="00ED41DD">
        <w:rPr>
          <w:lang w:val="en-GB"/>
        </w:rPr>
        <w:t xml:space="preserve"> As a result, the SSB based L1-RSRP measurement will not meet the accuracy requirement specified in </w:t>
      </w:r>
      <w:r w:rsidR="00ED41DD">
        <w:t>10.1.20, TS 38.133, when the reporting type is aperiodic.</w:t>
      </w:r>
      <w:r w:rsidR="00971F0E">
        <w:t xml:space="preserve"> Nevertheless, </w:t>
      </w:r>
      <w:r w:rsidR="00971F0E">
        <w:rPr>
          <w:lang w:val="en-GB"/>
        </w:rPr>
        <w:t>t</w:t>
      </w:r>
      <w:r w:rsidR="00971F0E">
        <w:t>o accept the performance degradation could be one option.</w:t>
      </w:r>
    </w:p>
    <w:p w:rsidR="00E5789B" w:rsidRPr="00971F0E" w:rsidRDefault="00E5789B" w:rsidP="00E5789B">
      <w:pPr>
        <w:jc w:val="both"/>
        <w:rPr>
          <w:b/>
        </w:rPr>
      </w:pPr>
      <w:bookmarkStart w:id="1" w:name="_Ref37379437"/>
      <w:r w:rsidRPr="00971F0E">
        <w:rPr>
          <w:rFonts w:eastAsia="SimSun" w:cs="Arial"/>
          <w:b/>
          <w:bCs/>
        </w:rPr>
        <w:t xml:space="preserve">Observation </w:t>
      </w:r>
      <w:r w:rsidRPr="00971F0E">
        <w:rPr>
          <w:rFonts w:eastAsia="SimSun" w:cs="Arial"/>
          <w:b/>
          <w:bCs/>
        </w:rPr>
        <w:fldChar w:fldCharType="begin"/>
      </w:r>
      <w:r w:rsidRPr="00971F0E">
        <w:rPr>
          <w:rFonts w:eastAsia="SimSun" w:cs="Arial"/>
          <w:b/>
          <w:bCs/>
        </w:rPr>
        <w:instrText xml:space="preserve"> SEQ Observation \* ARABIC </w:instrText>
      </w:r>
      <w:r w:rsidRPr="00971F0E">
        <w:rPr>
          <w:rFonts w:eastAsia="SimSun" w:cs="Arial"/>
          <w:b/>
          <w:bCs/>
        </w:rPr>
        <w:fldChar w:fldCharType="separate"/>
      </w:r>
      <w:r w:rsidR="00D13F73">
        <w:rPr>
          <w:rFonts w:eastAsia="SimSun" w:cs="Arial"/>
          <w:b/>
          <w:bCs/>
          <w:noProof/>
        </w:rPr>
        <w:t>1</w:t>
      </w:r>
      <w:r w:rsidRPr="00971F0E">
        <w:rPr>
          <w:rFonts w:eastAsia="SimSun" w:cs="Arial"/>
          <w:b/>
          <w:bCs/>
        </w:rPr>
        <w:fldChar w:fldCharType="end"/>
      </w:r>
      <w:r w:rsidRPr="00971F0E">
        <w:rPr>
          <w:rFonts w:eastAsia="SimSun" w:cs="Arial"/>
          <w:b/>
          <w:bCs/>
        </w:rPr>
        <w:t xml:space="preserve">: </w:t>
      </w:r>
      <w:r w:rsidR="007D2866" w:rsidRPr="00971F0E">
        <w:rPr>
          <w:b/>
        </w:rPr>
        <w:t xml:space="preserve">When the reporting type is aperiodic and </w:t>
      </w:r>
      <w:r w:rsidR="00E90D1B">
        <w:rPr>
          <w:b/>
        </w:rPr>
        <w:t xml:space="preserve">if </w:t>
      </w:r>
      <w:r w:rsidR="007D2866" w:rsidRPr="00971F0E">
        <w:rPr>
          <w:b/>
        </w:rPr>
        <w:t>the</w:t>
      </w:r>
      <w:r w:rsidRPr="00971F0E">
        <w:rPr>
          <w:b/>
        </w:rPr>
        <w:t xml:space="preserve"> scheduling restriction </w:t>
      </w:r>
      <w:r w:rsidR="000C022E">
        <w:rPr>
          <w:b/>
        </w:rPr>
        <w:t>only allowed after</w:t>
      </w:r>
      <w:r w:rsidRPr="00971F0E">
        <w:rPr>
          <w:b/>
        </w:rPr>
        <w:t xml:space="preserve"> report triggering, measurement time </w:t>
      </w:r>
      <w:r w:rsidR="003260C9">
        <w:rPr>
          <w:b/>
        </w:rPr>
        <w:t>is</w:t>
      </w:r>
      <w:r w:rsidRPr="00971F0E">
        <w:rPr>
          <w:b/>
        </w:rPr>
        <w:t xml:space="preserve"> insufficient for the SSB </w:t>
      </w:r>
      <w:r w:rsidR="007D2866" w:rsidRPr="00971F0E">
        <w:rPr>
          <w:b/>
        </w:rPr>
        <w:t>based</w:t>
      </w:r>
      <w:r w:rsidRPr="00971F0E">
        <w:rPr>
          <w:b/>
        </w:rPr>
        <w:t xml:space="preserve"> L1-RSRP</w:t>
      </w:r>
      <w:r w:rsidR="007D2866" w:rsidRPr="00971F0E">
        <w:rPr>
          <w:b/>
        </w:rPr>
        <w:t xml:space="preserve"> in FR2</w:t>
      </w:r>
      <w:r w:rsidR="00ED41DD" w:rsidRPr="00971F0E">
        <w:rPr>
          <w:b/>
        </w:rPr>
        <w:t xml:space="preserve">, and </w:t>
      </w:r>
      <w:r w:rsidR="00FF28BB">
        <w:rPr>
          <w:b/>
        </w:rPr>
        <w:t>UE</w:t>
      </w:r>
      <w:r w:rsidR="00FF28BB" w:rsidRPr="00971F0E">
        <w:rPr>
          <w:b/>
        </w:rPr>
        <w:t xml:space="preserve"> </w:t>
      </w:r>
      <w:r w:rsidR="00ED41DD" w:rsidRPr="00971F0E">
        <w:rPr>
          <w:b/>
        </w:rPr>
        <w:t>will not meet the corresponding accuracy requirement.</w:t>
      </w:r>
      <w:bookmarkEnd w:id="1"/>
      <w:r w:rsidR="00ED41DD" w:rsidRPr="00971F0E">
        <w:rPr>
          <w:b/>
        </w:rPr>
        <w:t xml:space="preserve"> </w:t>
      </w:r>
    </w:p>
    <w:p w:rsidR="00E5789B" w:rsidRDefault="00E5789B" w:rsidP="00F87B6C">
      <w:pPr>
        <w:jc w:val="both"/>
      </w:pPr>
    </w:p>
    <w:p w:rsidR="00E5789B" w:rsidRPr="00E5789B" w:rsidRDefault="00E5789B" w:rsidP="00E5789B">
      <w:pPr>
        <w:jc w:val="center"/>
        <w:rPr>
          <w:lang w:eastAsia="en-US"/>
        </w:rPr>
      </w:pPr>
      <w:r w:rsidRPr="00E5789B">
        <w:rPr>
          <w:noProof/>
          <w:lang w:eastAsia="zh-TW"/>
        </w:rPr>
        <w:drawing>
          <wp:inline distT="0" distB="0" distL="0" distR="0" wp14:anchorId="760F104F" wp14:editId="3AF19FDC">
            <wp:extent cx="5086350" cy="3552825"/>
            <wp:effectExtent l="19050" t="0" r="0" b="0"/>
            <wp:docPr id="6"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96071" cy="5562600"/>
                      <a:chOff x="914400" y="533400"/>
                      <a:chExt cx="7396071" cy="5562600"/>
                    </a:xfrm>
                  </a:grpSpPr>
                  <a:grpSp>
                    <a:nvGrpSpPr>
                      <a:cNvPr id="20" name="Group 19"/>
                      <a:cNvGrpSpPr/>
                    </a:nvGrpSpPr>
                    <a:grpSpPr>
                      <a:xfrm>
                        <a:off x="914400" y="533400"/>
                        <a:ext cx="7396071" cy="5562600"/>
                        <a:chOff x="914400" y="533400"/>
                        <a:chExt cx="7396071" cy="5562600"/>
                      </a:xfrm>
                    </a:grpSpPr>
                    <a:cxnSp>
                      <a:nvCxnSpPr>
                        <a:cNvPr id="8" name="Straight Connector 7"/>
                        <a:cNvCxnSpPr/>
                      </a:nvCxnSpPr>
                      <a:spPr>
                        <a:xfrm>
                          <a:off x="914400" y="2438400"/>
                          <a:ext cx="6705600" cy="0"/>
                        </a:xfrm>
                        <a:prstGeom prst="line">
                          <a:avLst/>
                        </a:prstGeom>
                        <a:ln w="25400" cmpd="sng">
                          <a:solidFill>
                            <a:schemeClr val="tx1"/>
                          </a:solidFill>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9" name="Rectangle 8"/>
                        <a:cNvSpPr/>
                      </a:nvSpPr>
                      <a:spPr>
                        <a:xfrm>
                          <a:off x="7696200" y="2221468"/>
                          <a:ext cx="614271"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ym typeface="Wingdings" pitchFamily="2" charset="2"/>
                              </a:rPr>
                              <a:t>time</a:t>
                            </a:r>
                            <a:endParaRPr lang="en-US" dirty="0"/>
                          </a:p>
                        </a:txBody>
                        <a:useSpRect/>
                      </a:txSp>
                    </a:sp>
                    <a:sp>
                      <a:nvSpPr>
                        <a:cNvPr id="12" name="Rectangle 11"/>
                        <a:cNvSpPr/>
                      </a:nvSpPr>
                      <a:spPr>
                        <a:xfrm>
                          <a:off x="4495800" y="1600200"/>
                          <a:ext cx="228600" cy="838200"/>
                        </a:xfrm>
                        <a:prstGeom prst="rect">
                          <a:avLst/>
                        </a:prstGeom>
                        <a:noFill/>
                        <a:ln w="25400">
                          <a:solidFill>
                            <a:schemeClr val="tx1"/>
                          </a:solidFill>
                        </a:ln>
                        <a:effectLst/>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b="1" dirty="0" err="1" smtClean="0">
                                <a:solidFill>
                                  <a:schemeClr val="tx1"/>
                                </a:solidFill>
                              </a:rPr>
                              <a:t>SSB</a:t>
                            </a:r>
                            <a:endParaRPr lang="en-US" b="1" dirty="0">
                              <a:solidFill>
                                <a:schemeClr val="tx1"/>
                              </a:solidFill>
                            </a:endParaRPr>
                          </a:p>
                        </a:txBody>
                        <a:useSpRect/>
                      </a:txSp>
                      <a:style>
                        <a:lnRef idx="1">
                          <a:schemeClr val="accent1"/>
                        </a:lnRef>
                        <a:fillRef idx="3">
                          <a:schemeClr val="accent1"/>
                        </a:fillRef>
                        <a:effectRef idx="2">
                          <a:schemeClr val="accent1"/>
                        </a:effectRef>
                        <a:fontRef idx="minor">
                          <a:schemeClr val="lt1"/>
                        </a:fontRef>
                      </a:style>
                    </a:sp>
                    <a:sp>
                      <a:nvSpPr>
                        <a:cNvPr id="13" name="Rectangle 12"/>
                        <a:cNvSpPr/>
                      </a:nvSpPr>
                      <a:spPr>
                        <a:xfrm>
                          <a:off x="5943600" y="1600200"/>
                          <a:ext cx="228600" cy="838200"/>
                        </a:xfrm>
                        <a:prstGeom prst="rect">
                          <a:avLst/>
                        </a:prstGeom>
                        <a:noFill/>
                        <a:ln w="25400">
                          <a:solidFill>
                            <a:schemeClr val="tx1"/>
                          </a:solidFill>
                        </a:ln>
                        <a:effectLst/>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b="1" dirty="0" err="1" smtClean="0">
                                <a:solidFill>
                                  <a:schemeClr val="tx1"/>
                                </a:solidFill>
                              </a:rPr>
                              <a:t>SSB</a:t>
                            </a:r>
                            <a:endParaRPr lang="en-US" b="1" dirty="0">
                              <a:solidFill>
                                <a:schemeClr val="tx1"/>
                              </a:solidFill>
                            </a:endParaRPr>
                          </a:p>
                        </a:txBody>
                        <a:useSpRect/>
                      </a:txSp>
                      <a:style>
                        <a:lnRef idx="1">
                          <a:schemeClr val="accent1"/>
                        </a:lnRef>
                        <a:fillRef idx="3">
                          <a:schemeClr val="accent1"/>
                        </a:fillRef>
                        <a:effectRef idx="2">
                          <a:schemeClr val="accent1"/>
                        </a:effectRef>
                        <a:fontRef idx="minor">
                          <a:schemeClr val="lt1"/>
                        </a:fontRef>
                      </a:style>
                    </a:sp>
                    <a:cxnSp>
                      <a:nvCxnSpPr>
                        <a:cNvPr id="14" name="Straight Arrow Connector 13"/>
                        <a:cNvCxnSpPr/>
                      </a:nvCxnSpPr>
                      <a:spPr>
                        <a:xfrm>
                          <a:off x="4191000" y="1371600"/>
                          <a:ext cx="0" cy="1066800"/>
                        </a:xfrm>
                        <a:prstGeom prst="straightConnector1">
                          <a:avLst/>
                        </a:prstGeom>
                        <a:ln w="25400" cmpd="sng">
                          <a:solidFill>
                            <a:schemeClr val="tx1"/>
                          </a:solidFill>
                          <a:tailEnd type="arrow"/>
                        </a:ln>
                        <a:effectLst/>
                      </a:spPr>
                      <a:style>
                        <a:lnRef idx="2">
                          <a:schemeClr val="accent1"/>
                        </a:lnRef>
                        <a:fillRef idx="0">
                          <a:schemeClr val="accent1"/>
                        </a:fillRef>
                        <a:effectRef idx="1">
                          <a:schemeClr val="accent1"/>
                        </a:effectRef>
                        <a:fontRef idx="minor">
                          <a:schemeClr val="tx1"/>
                        </a:fontRef>
                      </a:style>
                    </a:cxnSp>
                    <a:cxnSp>
                      <a:nvCxnSpPr>
                        <a:cNvPr id="15" name="Straight Arrow Connector 14"/>
                        <a:cNvCxnSpPr/>
                      </a:nvCxnSpPr>
                      <a:spPr>
                        <a:xfrm flipV="1">
                          <a:off x="6477000" y="1371600"/>
                          <a:ext cx="0" cy="1066800"/>
                        </a:xfrm>
                        <a:prstGeom prst="straightConnector1">
                          <a:avLst/>
                        </a:prstGeom>
                        <a:ln w="25400" cmpd="sng">
                          <a:solidFill>
                            <a:schemeClr val="tx1"/>
                          </a:solidFill>
                          <a:tailEnd type="arrow"/>
                        </a:ln>
                        <a:effectLst/>
                      </a:spPr>
                      <a:style>
                        <a:lnRef idx="2">
                          <a:schemeClr val="accent1"/>
                        </a:lnRef>
                        <a:fillRef idx="0">
                          <a:schemeClr val="accent1"/>
                        </a:fillRef>
                        <a:effectRef idx="1">
                          <a:schemeClr val="accent1"/>
                        </a:effectRef>
                        <a:fontRef idx="minor">
                          <a:schemeClr val="tx1"/>
                        </a:fontRef>
                      </a:style>
                    </a:cxnSp>
                    <a:sp>
                      <a:nvSpPr>
                        <a:cNvPr id="16" name="Rectangle 15"/>
                        <a:cNvSpPr/>
                      </a:nvSpPr>
                      <a:spPr>
                        <a:xfrm>
                          <a:off x="3429000" y="609600"/>
                          <a:ext cx="1828800" cy="646331"/>
                        </a:xfrm>
                        <a:prstGeom prst="rect">
                          <a:avLst/>
                        </a:prstGeom>
                      </a:spPr>
                      <a:txSp>
                        <a:txBody>
                          <a:bodyPr wrap="squar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ym typeface="Wingdings" pitchFamily="2" charset="2"/>
                              </a:rPr>
                              <a:t>Aperiodic report activation</a:t>
                            </a:r>
                            <a:endParaRPr lang="en-US" dirty="0"/>
                          </a:p>
                        </a:txBody>
                        <a:useSpRect/>
                      </a:txSp>
                    </a:sp>
                    <a:sp>
                      <a:nvSpPr>
                        <a:cNvPr id="17" name="Rectangle 16"/>
                        <a:cNvSpPr/>
                      </a:nvSpPr>
                      <a:spPr>
                        <a:xfrm>
                          <a:off x="6019800" y="533400"/>
                          <a:ext cx="1371600" cy="646331"/>
                        </a:xfrm>
                        <a:prstGeom prst="rect">
                          <a:avLst/>
                        </a:prstGeom>
                      </a:spPr>
                      <a:txSp>
                        <a:txBody>
                          <a:bodyPr wrap="squar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ym typeface="Wingdings" pitchFamily="2" charset="2"/>
                              </a:rPr>
                              <a:t>Aperiodic reporting</a:t>
                            </a:r>
                            <a:endParaRPr lang="en-US" dirty="0"/>
                          </a:p>
                        </a:txBody>
                        <a:useSpRect/>
                      </a:txSp>
                    </a:sp>
                    <a:cxnSp>
                      <a:nvCxnSpPr>
                        <a:cNvPr id="18" name="Straight Arrow Connector 17"/>
                        <a:cNvCxnSpPr/>
                      </a:nvCxnSpPr>
                      <a:spPr>
                        <a:xfrm>
                          <a:off x="4191000" y="2667000"/>
                          <a:ext cx="2286000" cy="0"/>
                        </a:xfrm>
                        <a:prstGeom prst="straightConnector1">
                          <a:avLst/>
                        </a:prstGeom>
                        <a:ln w="25400" cmpd="sng">
                          <a:solidFill>
                            <a:schemeClr val="tx1"/>
                          </a:solidFill>
                          <a:headEnd type="arrow"/>
                          <a:tailEnd type="arrow"/>
                        </a:ln>
                        <a:effectLst/>
                      </a:spPr>
                      <a:style>
                        <a:lnRef idx="2">
                          <a:schemeClr val="accent1"/>
                        </a:lnRef>
                        <a:fillRef idx="0">
                          <a:schemeClr val="accent1"/>
                        </a:fillRef>
                        <a:effectRef idx="1">
                          <a:schemeClr val="accent1"/>
                        </a:effectRef>
                        <a:fontRef idx="minor">
                          <a:schemeClr val="tx1"/>
                        </a:fontRef>
                      </a:style>
                    </a:cxnSp>
                    <a:sp>
                      <a:nvSpPr>
                        <a:cNvPr id="19" name="Rectangle 18"/>
                        <a:cNvSpPr/>
                      </a:nvSpPr>
                      <a:spPr>
                        <a:xfrm>
                          <a:off x="3962400" y="2743200"/>
                          <a:ext cx="3505200" cy="984885"/>
                        </a:xfrm>
                        <a:prstGeom prst="rect">
                          <a:avLst/>
                        </a:prstGeom>
                      </a:spPr>
                      <a:txSp>
                        <a:txBody>
                          <a:bodyPr wrap="squar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sym typeface="Wingdings" pitchFamily="2" charset="2"/>
                              </a:rPr>
                              <a:t>32 </a:t>
                            </a:r>
                            <a:r>
                              <a:rPr lang="en-US" sz="2000" dirty="0" smtClean="0">
                                <a:sym typeface="Wingdings" pitchFamily="2" charset="2"/>
                              </a:rPr>
                              <a:t>slots (</a:t>
                            </a:r>
                            <a:r>
                              <a:rPr lang="en-US" sz="2000" i="1" dirty="0" err="1" smtClean="0">
                                <a:sym typeface="Wingdings" pitchFamily="2" charset="2"/>
                              </a:rPr>
                              <a:t>reportSlotOffsetList</a:t>
                            </a:r>
                            <a:r>
                              <a:rPr lang="en-US" sz="2000" dirty="0" smtClean="0">
                                <a:sym typeface="Wingdings" pitchFamily="2" charset="2"/>
                              </a:rPr>
                              <a:t>) </a:t>
                            </a:r>
                          </a:p>
                          <a:p>
                            <a:r>
                              <a:rPr lang="en-US" sz="2000" dirty="0" smtClean="0">
                                <a:sym typeface="Wingdings" pitchFamily="2" charset="2"/>
                              </a:rPr>
                              <a:t>&lt;&lt; </a:t>
                            </a:r>
                            <a:r>
                              <a:rPr lang="en-GB" sz="2000" dirty="0" err="1" smtClean="0"/>
                              <a:t>T</a:t>
                            </a:r>
                            <a:r>
                              <a:rPr lang="en-GB" sz="2000" baseline="-25000" dirty="0" err="1" smtClean="0"/>
                              <a:t>L1-RSRP_Measurement_Period_SSB</a:t>
                            </a:r>
                            <a:endParaRPr lang="en-US" sz="2000" dirty="0" smtClean="0">
                              <a:sym typeface="Wingdings" pitchFamily="2" charset="2"/>
                            </a:endParaRPr>
                          </a:p>
                          <a:p>
                            <a:endParaRPr lang="en-US" dirty="0"/>
                          </a:p>
                        </a:txBody>
                        <a:useSpRect/>
                      </a:txSp>
                    </a:sp>
                    <a:sp>
                      <a:nvSpPr>
                        <a:cNvPr id="56" name="Rectangle 55"/>
                        <a:cNvSpPr/>
                      </a:nvSpPr>
                      <a:spPr>
                        <a:xfrm>
                          <a:off x="3048000" y="1600200"/>
                          <a:ext cx="228600" cy="838200"/>
                        </a:xfrm>
                        <a:prstGeom prst="rect">
                          <a:avLst/>
                        </a:prstGeom>
                        <a:noFill/>
                        <a:ln w="25400">
                          <a:solidFill>
                            <a:schemeClr val="tx1"/>
                          </a:solidFill>
                        </a:ln>
                        <a:effectLst/>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b="1" dirty="0" err="1" smtClean="0">
                                <a:solidFill>
                                  <a:schemeClr val="tx1"/>
                                </a:solidFill>
                              </a:rPr>
                              <a:t>SSB</a:t>
                            </a:r>
                            <a:endParaRPr lang="en-US" b="1" dirty="0">
                              <a:solidFill>
                                <a:schemeClr val="tx1"/>
                              </a:solidFill>
                            </a:endParaRPr>
                          </a:p>
                        </a:txBody>
                        <a:useSpRect/>
                      </a:txSp>
                      <a:style>
                        <a:lnRef idx="1">
                          <a:schemeClr val="accent1"/>
                        </a:lnRef>
                        <a:fillRef idx="3">
                          <a:schemeClr val="accent1"/>
                        </a:fillRef>
                        <a:effectRef idx="2">
                          <a:schemeClr val="accent1"/>
                        </a:effectRef>
                        <a:fontRef idx="minor">
                          <a:schemeClr val="lt1"/>
                        </a:fontRef>
                      </a:style>
                    </a:sp>
                    <a:sp>
                      <a:nvSpPr>
                        <a:cNvPr id="63" name="Down Arrow 62"/>
                        <a:cNvSpPr/>
                      </a:nvSpPr>
                      <a:spPr>
                        <a:xfrm rot="2143367">
                          <a:off x="5559488" y="3625966"/>
                          <a:ext cx="304800" cy="609600"/>
                        </a:xfrm>
                        <a:prstGeom prst="downArrow">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Explosion 1 63"/>
                        <a:cNvSpPr/>
                      </a:nvSpPr>
                      <a:spPr>
                        <a:xfrm>
                          <a:off x="1828800" y="3810000"/>
                          <a:ext cx="5029200" cy="2286000"/>
                        </a:xfrm>
                        <a:prstGeom prst="irregularSeal1">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Insufficient measurement time for SSB configured in aperiodic reporting</a:t>
                            </a:r>
                            <a:endParaRPr lang="en-US" dirty="0"/>
                          </a:p>
                        </a:txBody>
                        <a:useSpRect/>
                      </a:txSp>
                      <a:style>
                        <a:lnRef idx="2">
                          <a:schemeClr val="accent1"/>
                        </a:lnRef>
                        <a:fillRef idx="1">
                          <a:schemeClr val="lt1"/>
                        </a:fillRef>
                        <a:effectRef idx="0">
                          <a:schemeClr val="accent1"/>
                        </a:effectRef>
                        <a:fontRef idx="minor">
                          <a:schemeClr val="dk1"/>
                        </a:fontRef>
                      </a:style>
                    </a:sp>
                  </a:grpSp>
                </lc:lockedCanvas>
              </a:graphicData>
            </a:graphic>
          </wp:inline>
        </w:drawing>
      </w:r>
    </w:p>
    <w:p w:rsidR="00E56ECF" w:rsidRDefault="00E56ECF" w:rsidP="00E56ECF">
      <w:pPr>
        <w:jc w:val="center"/>
        <w:rPr>
          <w:lang w:val="en-GB" w:eastAsia="en-US"/>
        </w:rP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Pr>
          <w:rFonts w:ascii="Calibri" w:eastAsia="SimSun" w:hAnsi="Calibri" w:cs="Arial"/>
          <w:bCs/>
          <w:noProof/>
        </w:rPr>
        <w:t>1</w:t>
      </w:r>
      <w:r w:rsidRPr="009E43CE">
        <w:rPr>
          <w:rFonts w:ascii="Calibri" w:eastAsia="SimSun" w:hAnsi="Calibri" w:cs="Arial"/>
          <w:bCs/>
        </w:rPr>
        <w:fldChar w:fldCharType="end"/>
      </w:r>
      <w:r w:rsidRPr="009E43CE">
        <w:rPr>
          <w:rFonts w:ascii="Calibri" w:eastAsia="SimSun" w:hAnsi="Calibri" w:cs="Arial"/>
          <w:bCs/>
        </w:rPr>
        <w:t xml:space="preserve">. </w:t>
      </w:r>
      <w:r>
        <w:rPr>
          <w:rFonts w:ascii="Calibri" w:eastAsia="SimSun" w:hAnsi="Calibri" w:cs="Arial"/>
          <w:bCs/>
        </w:rPr>
        <w:t>Insufficient measurement time for SSB based aperiodic L1-RSRP reporting,</w:t>
      </w:r>
      <w:r w:rsidR="00E5789B">
        <w:rPr>
          <w:rFonts w:ascii="Calibri" w:eastAsia="SimSun" w:hAnsi="Calibri" w:cs="Arial"/>
          <w:bCs/>
        </w:rPr>
        <w:t xml:space="preserve"> if scheduling restriction applies</w:t>
      </w:r>
      <w:r>
        <w:rPr>
          <w:rFonts w:ascii="Calibri" w:eastAsia="SimSun" w:hAnsi="Calibri" w:cs="Arial"/>
          <w:bCs/>
        </w:rPr>
        <w:t xml:space="preserve"> after the triggering of aperiodic reporting.</w:t>
      </w:r>
    </w:p>
    <w:p w:rsidR="007D2866" w:rsidRDefault="007D2866" w:rsidP="00ED41DD">
      <w:pPr>
        <w:jc w:val="both"/>
        <w:rPr>
          <w:lang w:val="en-GB"/>
        </w:rPr>
      </w:pPr>
    </w:p>
    <w:p w:rsidR="00E56ECF" w:rsidRDefault="007D2866" w:rsidP="00E56ECF">
      <w:pPr>
        <w:jc w:val="both"/>
      </w:pPr>
      <w:r>
        <w:t xml:space="preserve">However, the required measurement performance can be achieved if the scheduling restriction applies </w:t>
      </w:r>
      <w:r w:rsidR="00E90D1B">
        <w:t xml:space="preserve">once </w:t>
      </w:r>
      <w:r>
        <w:t xml:space="preserve">the SSB </w:t>
      </w:r>
      <w:r w:rsidR="00E90D1B">
        <w:t xml:space="preserve">is </w:t>
      </w:r>
      <w:r>
        <w:t xml:space="preserve">configured for L1-RSRP in FR2. </w:t>
      </w:r>
      <w:r w:rsidR="0095341E">
        <w:t>Since</w:t>
      </w:r>
      <w:r w:rsidR="00E56ECF">
        <w:t xml:space="preserve"> SSB can only be configured as periodic resource for L1-RSRP</w:t>
      </w:r>
      <w:r>
        <w:t xml:space="preserve"> measurement, UE will </w:t>
      </w:r>
      <w:r w:rsidR="00E56ECF">
        <w:t xml:space="preserve">perform periodic L1-RSRP measurement on SSB, no matter if the reporting type is periodic, semi-persistent or aperiodic. </w:t>
      </w:r>
      <w:r w:rsidR="00F91CFC">
        <w:t xml:space="preserve">In other words, scheduling restriction </w:t>
      </w:r>
      <w:r w:rsidR="003D119D">
        <w:t>should apply for the configured SSB</w:t>
      </w:r>
      <w:r w:rsidR="003D119D" w:rsidRPr="003D119D">
        <w:t xml:space="preserve"> </w:t>
      </w:r>
      <w:r w:rsidR="00991EB2">
        <w:t>regardless</w:t>
      </w:r>
      <w:r w:rsidR="003D119D">
        <w:t xml:space="preserve"> the reporting</w:t>
      </w:r>
      <w:r>
        <w:t xml:space="preserve"> type</w:t>
      </w:r>
      <w:r w:rsidR="003D119D">
        <w:t xml:space="preserve">, </w:t>
      </w:r>
      <w:r>
        <w:t>and it can ensure</w:t>
      </w:r>
      <w:r w:rsidR="003D119D">
        <w:t xml:space="preserve"> sufficient</w:t>
      </w:r>
      <w:r w:rsidR="00F91CFC">
        <w:t xml:space="preserve"> measurement time </w:t>
      </w:r>
      <w:r w:rsidR="00F91CFC">
        <w:rPr>
          <w:lang w:val="en-GB"/>
        </w:rPr>
        <w:t>T</w:t>
      </w:r>
      <w:r w:rsidR="00F91CFC">
        <w:rPr>
          <w:vertAlign w:val="subscript"/>
          <w:lang w:val="en-GB"/>
        </w:rPr>
        <w:t>L1-RSRP_Measurement_Period_SSB</w:t>
      </w:r>
      <w:r w:rsidR="00F76AC7">
        <w:t>, as s</w:t>
      </w:r>
      <w:r w:rsidR="00F91CFC">
        <w:t xml:space="preserve">pecified </w:t>
      </w:r>
      <w:r w:rsidR="00C45627">
        <w:t>in 9.5.4.1, 38.133</w:t>
      </w:r>
      <w:r w:rsidR="003D119D">
        <w:t>.</w:t>
      </w:r>
    </w:p>
    <w:p w:rsidR="003D119D" w:rsidRPr="00971F0E" w:rsidRDefault="003D119D" w:rsidP="007D2866">
      <w:pPr>
        <w:pStyle w:val="af1"/>
        <w:jc w:val="both"/>
        <w:rPr>
          <w:rFonts w:ascii="Calibri" w:eastAsia="SimSun" w:hAnsi="Calibri" w:cs="Arial"/>
          <w:bCs/>
          <w:sz w:val="22"/>
          <w:szCs w:val="22"/>
        </w:rPr>
      </w:pPr>
      <w:bookmarkStart w:id="2" w:name="_Ref37379439"/>
      <w:r w:rsidRPr="00971F0E">
        <w:rPr>
          <w:rFonts w:eastAsia="SimSun" w:cs="Arial"/>
          <w:bCs/>
          <w:sz w:val="22"/>
          <w:szCs w:val="22"/>
        </w:rPr>
        <w:t xml:space="preserve">Observation </w:t>
      </w:r>
      <w:r w:rsidRPr="00971F0E">
        <w:rPr>
          <w:rFonts w:eastAsia="SimSun" w:cs="Arial"/>
          <w:bCs/>
          <w:sz w:val="22"/>
          <w:szCs w:val="22"/>
        </w:rPr>
        <w:fldChar w:fldCharType="begin"/>
      </w:r>
      <w:r w:rsidRPr="00971F0E">
        <w:rPr>
          <w:rFonts w:eastAsia="SimSun" w:cs="Arial"/>
          <w:bCs/>
          <w:sz w:val="22"/>
          <w:szCs w:val="22"/>
        </w:rPr>
        <w:instrText xml:space="preserve"> SEQ Observation \* ARABIC </w:instrText>
      </w:r>
      <w:r w:rsidRPr="00971F0E">
        <w:rPr>
          <w:rFonts w:eastAsia="SimSun" w:cs="Arial"/>
          <w:bCs/>
          <w:sz w:val="22"/>
          <w:szCs w:val="22"/>
        </w:rPr>
        <w:fldChar w:fldCharType="separate"/>
      </w:r>
      <w:r w:rsidRPr="00971F0E">
        <w:rPr>
          <w:rFonts w:eastAsia="SimSun" w:cs="Arial"/>
          <w:bCs/>
          <w:noProof/>
          <w:sz w:val="22"/>
          <w:szCs w:val="22"/>
        </w:rPr>
        <w:t>2</w:t>
      </w:r>
      <w:r w:rsidRPr="00971F0E">
        <w:rPr>
          <w:rFonts w:eastAsia="SimSun" w:cs="Arial"/>
          <w:bCs/>
          <w:sz w:val="22"/>
          <w:szCs w:val="22"/>
        </w:rPr>
        <w:fldChar w:fldCharType="end"/>
      </w:r>
      <w:r w:rsidRPr="00971F0E">
        <w:rPr>
          <w:rFonts w:eastAsia="SimSun" w:cs="Arial"/>
          <w:bCs/>
          <w:sz w:val="22"/>
          <w:szCs w:val="22"/>
        </w:rPr>
        <w:t xml:space="preserve">: </w:t>
      </w:r>
      <w:r w:rsidR="00E90D1B">
        <w:rPr>
          <w:rFonts w:eastAsia="SimSun" w:cs="Arial"/>
          <w:bCs/>
          <w:sz w:val="22"/>
          <w:szCs w:val="22"/>
        </w:rPr>
        <w:t xml:space="preserve">If </w:t>
      </w:r>
      <w:r w:rsidR="00D13F73">
        <w:rPr>
          <w:rFonts w:ascii="Calibri" w:eastAsia="SimSun" w:hAnsi="Calibri" w:cs="Arial"/>
          <w:bCs/>
          <w:sz w:val="22"/>
          <w:szCs w:val="22"/>
        </w:rPr>
        <w:t>s</w:t>
      </w:r>
      <w:r w:rsidRPr="00971F0E">
        <w:rPr>
          <w:rFonts w:ascii="Calibri" w:eastAsia="SimSun" w:hAnsi="Calibri" w:cs="Arial"/>
          <w:bCs/>
          <w:sz w:val="22"/>
          <w:szCs w:val="22"/>
        </w:rPr>
        <w:t xml:space="preserve">cheduling restriction </w:t>
      </w:r>
      <w:r w:rsidR="00E90D1B">
        <w:rPr>
          <w:rFonts w:ascii="Calibri" w:eastAsia="SimSun" w:hAnsi="Calibri" w:cs="Arial"/>
          <w:bCs/>
          <w:sz w:val="22"/>
          <w:szCs w:val="22"/>
        </w:rPr>
        <w:t>is allowed</w:t>
      </w:r>
      <w:r w:rsidR="00E90D1B" w:rsidRPr="00971F0E">
        <w:rPr>
          <w:rFonts w:ascii="Calibri" w:eastAsia="SimSun" w:hAnsi="Calibri" w:cs="Arial"/>
          <w:bCs/>
          <w:sz w:val="22"/>
          <w:szCs w:val="22"/>
        </w:rPr>
        <w:t xml:space="preserve"> </w:t>
      </w:r>
      <w:r w:rsidR="00E90D1B">
        <w:rPr>
          <w:rFonts w:ascii="Calibri" w:eastAsia="SimSun" w:hAnsi="Calibri" w:cs="Arial"/>
          <w:bCs/>
          <w:sz w:val="22"/>
          <w:szCs w:val="22"/>
        </w:rPr>
        <w:t>after</w:t>
      </w:r>
      <w:r w:rsidRPr="00971F0E">
        <w:rPr>
          <w:rFonts w:ascii="Calibri" w:eastAsia="SimSun" w:hAnsi="Calibri" w:cs="Arial"/>
          <w:bCs/>
          <w:sz w:val="22"/>
          <w:szCs w:val="22"/>
        </w:rPr>
        <w:t xml:space="preserve"> </w:t>
      </w:r>
      <w:r w:rsidR="00E90D1B">
        <w:rPr>
          <w:rFonts w:ascii="Calibri" w:eastAsia="SimSun" w:hAnsi="Calibri" w:cs="Arial"/>
          <w:bCs/>
          <w:sz w:val="22"/>
          <w:szCs w:val="22"/>
        </w:rPr>
        <w:t xml:space="preserve">the </w:t>
      </w:r>
      <w:r w:rsidRPr="00971F0E">
        <w:rPr>
          <w:rFonts w:ascii="Calibri" w:eastAsia="SimSun" w:hAnsi="Calibri" w:cs="Arial"/>
          <w:bCs/>
          <w:sz w:val="22"/>
          <w:szCs w:val="22"/>
        </w:rPr>
        <w:t xml:space="preserve">SSB </w:t>
      </w:r>
      <w:r w:rsidR="00E90D1B">
        <w:rPr>
          <w:rFonts w:ascii="Calibri" w:eastAsia="SimSun" w:hAnsi="Calibri" w:cs="Arial"/>
          <w:bCs/>
          <w:sz w:val="22"/>
          <w:szCs w:val="22"/>
        </w:rPr>
        <w:t xml:space="preserve">is </w:t>
      </w:r>
      <w:r w:rsidRPr="00971F0E">
        <w:rPr>
          <w:rFonts w:ascii="Calibri" w:eastAsia="SimSun" w:hAnsi="Calibri" w:cs="Arial"/>
          <w:bCs/>
          <w:sz w:val="22"/>
          <w:szCs w:val="22"/>
        </w:rPr>
        <w:t xml:space="preserve">configured for L1-RSRP measurement, no matter the reporting type is periodic, semi-persistent or aperiodic, </w:t>
      </w:r>
      <w:r w:rsidR="00E90D1B">
        <w:rPr>
          <w:rFonts w:ascii="Calibri" w:eastAsia="SimSun" w:hAnsi="Calibri" w:cs="Arial"/>
          <w:bCs/>
          <w:sz w:val="22"/>
          <w:szCs w:val="22"/>
        </w:rPr>
        <w:t>UE can have</w:t>
      </w:r>
      <w:r w:rsidRPr="00971F0E">
        <w:rPr>
          <w:rFonts w:ascii="Calibri" w:eastAsia="SimSun" w:hAnsi="Calibri" w:cs="Arial"/>
          <w:bCs/>
          <w:sz w:val="22"/>
          <w:szCs w:val="22"/>
        </w:rPr>
        <w:t xml:space="preserve"> </w:t>
      </w:r>
      <w:r w:rsidR="00E90D1B">
        <w:rPr>
          <w:rFonts w:ascii="Calibri" w:eastAsia="SimSun" w:hAnsi="Calibri" w:cs="Arial"/>
          <w:bCs/>
          <w:sz w:val="22"/>
          <w:szCs w:val="22"/>
        </w:rPr>
        <w:t>sufficient</w:t>
      </w:r>
      <w:r w:rsidRPr="00971F0E">
        <w:rPr>
          <w:rFonts w:ascii="Calibri" w:eastAsia="SimSun" w:hAnsi="Calibri" w:cs="Arial"/>
          <w:bCs/>
          <w:sz w:val="22"/>
          <w:szCs w:val="22"/>
        </w:rPr>
        <w:t xml:space="preserve"> measurement time for SSB based L1-RSRP in FR2.</w:t>
      </w:r>
      <w:bookmarkEnd w:id="2"/>
    </w:p>
    <w:p w:rsidR="007D2866" w:rsidRPr="007D2866" w:rsidRDefault="007D2866" w:rsidP="007D2866">
      <w:r>
        <w:t xml:space="preserve">Therefore, we propose 2 options for down-selection. </w:t>
      </w:r>
    </w:p>
    <w:p w:rsidR="00971F0E" w:rsidRPr="00971F0E" w:rsidRDefault="007677F8" w:rsidP="00971F0E">
      <w:pPr>
        <w:pStyle w:val="af1"/>
        <w:jc w:val="both"/>
        <w:rPr>
          <w:rFonts w:ascii="Calibri" w:eastAsia="SimSun" w:hAnsi="Calibri" w:cs="Arial"/>
          <w:bCs/>
          <w:sz w:val="22"/>
          <w:szCs w:val="22"/>
        </w:rPr>
      </w:pPr>
      <w:bookmarkStart w:id="3" w:name="_Ref24136207"/>
      <w:bookmarkStart w:id="4" w:name="_Ref37379443"/>
      <w:r w:rsidRPr="00971F0E">
        <w:rPr>
          <w:rFonts w:ascii="Calibri" w:eastAsia="SimSun" w:hAnsi="Calibri" w:cs="Arial"/>
          <w:bCs/>
          <w:sz w:val="22"/>
          <w:szCs w:val="22"/>
        </w:rPr>
        <w:t xml:space="preserve">Proposal </w:t>
      </w:r>
      <w:r w:rsidRPr="00971F0E">
        <w:rPr>
          <w:rFonts w:ascii="Calibri" w:eastAsia="SimSun" w:hAnsi="Calibri" w:cs="Arial"/>
          <w:bCs/>
          <w:sz w:val="22"/>
          <w:szCs w:val="22"/>
        </w:rPr>
        <w:fldChar w:fldCharType="begin"/>
      </w:r>
      <w:r w:rsidRPr="00971F0E">
        <w:rPr>
          <w:rFonts w:ascii="Calibri" w:eastAsia="SimSun" w:hAnsi="Calibri" w:cs="Arial"/>
          <w:bCs/>
          <w:sz w:val="22"/>
          <w:szCs w:val="22"/>
        </w:rPr>
        <w:instrText xml:space="preserve"> SEQ Proposal \* ARABIC </w:instrText>
      </w:r>
      <w:r w:rsidRPr="00971F0E">
        <w:rPr>
          <w:rFonts w:ascii="Calibri" w:eastAsia="SimSun" w:hAnsi="Calibri" w:cs="Arial"/>
          <w:bCs/>
          <w:sz w:val="22"/>
          <w:szCs w:val="22"/>
        </w:rPr>
        <w:fldChar w:fldCharType="separate"/>
      </w:r>
      <w:r w:rsidRPr="00971F0E">
        <w:rPr>
          <w:rFonts w:ascii="Calibri" w:eastAsia="SimSun" w:hAnsi="Calibri" w:cs="Arial"/>
          <w:bCs/>
          <w:noProof/>
          <w:sz w:val="22"/>
          <w:szCs w:val="22"/>
        </w:rPr>
        <w:t>1</w:t>
      </w:r>
      <w:r w:rsidRPr="00971F0E">
        <w:rPr>
          <w:rFonts w:ascii="Calibri" w:eastAsia="SimSun" w:hAnsi="Calibri" w:cs="Arial"/>
          <w:bCs/>
          <w:sz w:val="22"/>
          <w:szCs w:val="22"/>
        </w:rPr>
        <w:fldChar w:fldCharType="end"/>
      </w:r>
      <w:r w:rsidRPr="00971F0E">
        <w:rPr>
          <w:rFonts w:ascii="Calibri" w:eastAsia="SimSun" w:hAnsi="Calibri" w:cs="Arial"/>
          <w:bCs/>
          <w:sz w:val="22"/>
          <w:szCs w:val="22"/>
        </w:rPr>
        <w:t xml:space="preserve">: </w:t>
      </w:r>
      <w:bookmarkEnd w:id="3"/>
      <w:r w:rsidR="00ED41DD" w:rsidRPr="00971F0E">
        <w:rPr>
          <w:rFonts w:ascii="Calibri" w:eastAsia="SimSun" w:hAnsi="Calibri" w:cs="Arial"/>
          <w:bCs/>
          <w:sz w:val="22"/>
          <w:szCs w:val="22"/>
        </w:rPr>
        <w:t>Down-select</w:t>
      </w:r>
      <w:r w:rsidRPr="00971F0E">
        <w:rPr>
          <w:rFonts w:ascii="Calibri" w:eastAsia="SimSun" w:hAnsi="Calibri" w:cs="Arial"/>
          <w:bCs/>
          <w:sz w:val="22"/>
          <w:szCs w:val="22"/>
        </w:rPr>
        <w:t xml:space="preserve"> one of the following options,</w:t>
      </w:r>
      <w:bookmarkEnd w:id="4"/>
      <w:r w:rsidRPr="00971F0E">
        <w:rPr>
          <w:rFonts w:ascii="Calibri" w:eastAsia="SimSun" w:hAnsi="Calibri" w:cs="Arial"/>
          <w:bCs/>
          <w:sz w:val="22"/>
          <w:szCs w:val="22"/>
        </w:rPr>
        <w:t xml:space="preserve"> </w:t>
      </w:r>
    </w:p>
    <w:p w:rsidR="00971F0E" w:rsidRPr="00971F0E" w:rsidRDefault="00971F0E" w:rsidP="00D13F73">
      <w:pPr>
        <w:pStyle w:val="af5"/>
        <w:numPr>
          <w:ilvl w:val="0"/>
          <w:numId w:val="13"/>
        </w:numPr>
        <w:rPr>
          <w:b/>
        </w:rPr>
      </w:pPr>
      <w:r w:rsidRPr="00971F0E">
        <w:rPr>
          <w:rFonts w:ascii="Calibri" w:eastAsia="SimSun" w:hAnsi="Calibri" w:cs="Arial"/>
          <w:b/>
          <w:bCs/>
        </w:rPr>
        <w:t xml:space="preserve">Option 1: L1-RSRP accuracy requirement doesn’t apply for SSB based L1-RSRP in FR2, when the reporting type is aperiodic.  </w:t>
      </w:r>
    </w:p>
    <w:p w:rsidR="007677F8" w:rsidRPr="00971F0E" w:rsidRDefault="00971F0E" w:rsidP="00D13F73">
      <w:pPr>
        <w:pStyle w:val="af5"/>
        <w:numPr>
          <w:ilvl w:val="0"/>
          <w:numId w:val="13"/>
        </w:numPr>
        <w:rPr>
          <w:b/>
        </w:rPr>
      </w:pPr>
      <w:r w:rsidRPr="00971F0E">
        <w:rPr>
          <w:b/>
        </w:rPr>
        <w:t>Option</w:t>
      </w:r>
      <w:r w:rsidR="00D13F73">
        <w:rPr>
          <w:b/>
        </w:rPr>
        <w:t xml:space="preserve"> </w:t>
      </w:r>
      <w:r w:rsidRPr="00971F0E">
        <w:rPr>
          <w:b/>
        </w:rPr>
        <w:t>2</w:t>
      </w:r>
      <w:r w:rsidR="007677F8" w:rsidRPr="00971F0E">
        <w:rPr>
          <w:b/>
        </w:rPr>
        <w:t xml:space="preserve">: </w:t>
      </w:r>
      <w:r w:rsidR="007677F8" w:rsidRPr="00971F0E">
        <w:rPr>
          <w:rFonts w:ascii="Calibri" w:eastAsia="SimSun" w:hAnsi="Calibri" w:cs="Arial"/>
          <w:b/>
          <w:bCs/>
        </w:rPr>
        <w:t xml:space="preserve">Scheduling restriction should apply </w:t>
      </w:r>
      <w:r w:rsidR="007677F8" w:rsidRPr="00971F0E">
        <w:rPr>
          <w:rFonts w:ascii="Calibri" w:eastAsia="SimSun" w:hAnsi="Calibri" w:cs="Arial"/>
          <w:b/>
          <w:bCs/>
          <w:lang w:eastAsia="zh-TW"/>
        </w:rPr>
        <w:t>o</w:t>
      </w:r>
      <w:r w:rsidR="007677F8" w:rsidRPr="00971F0E">
        <w:rPr>
          <w:rFonts w:ascii="Calibri" w:eastAsia="SimSun" w:hAnsi="Calibri" w:cs="Arial"/>
          <w:b/>
          <w:bCs/>
        </w:rPr>
        <w:t>n</w:t>
      </w:r>
      <w:r w:rsidR="007C267C">
        <w:rPr>
          <w:rFonts w:ascii="Calibri" w:eastAsia="SimSun" w:hAnsi="Calibri" w:cs="Arial"/>
          <w:b/>
          <w:bCs/>
        </w:rPr>
        <w:t>ce</w:t>
      </w:r>
      <w:r w:rsidR="007677F8" w:rsidRPr="00971F0E">
        <w:rPr>
          <w:rFonts w:ascii="Calibri" w:eastAsia="SimSun" w:hAnsi="Calibri" w:cs="Arial"/>
          <w:b/>
          <w:bCs/>
        </w:rPr>
        <w:t xml:space="preserve"> the SSB </w:t>
      </w:r>
      <w:r w:rsidR="00867143">
        <w:rPr>
          <w:rFonts w:ascii="Calibri" w:eastAsia="SimSun" w:hAnsi="Calibri" w:cs="Arial"/>
          <w:b/>
          <w:bCs/>
        </w:rPr>
        <w:t xml:space="preserve">is </w:t>
      </w:r>
      <w:r w:rsidR="007677F8" w:rsidRPr="00971F0E">
        <w:rPr>
          <w:rFonts w:ascii="Calibri" w:eastAsia="SimSun" w:hAnsi="Calibri" w:cs="Arial"/>
          <w:b/>
          <w:bCs/>
        </w:rPr>
        <w:t>configured for L1-RSRP measurement, no matter the reporting type is periodic, semi-persistent or aperiodic</w:t>
      </w:r>
      <w:r w:rsidRPr="00971F0E">
        <w:rPr>
          <w:rFonts w:ascii="Calibri" w:eastAsia="SimSun" w:hAnsi="Calibri" w:cs="Arial"/>
          <w:b/>
          <w:bCs/>
        </w:rPr>
        <w:t>.</w:t>
      </w:r>
    </w:p>
    <w:p w:rsidR="00CE0D5E" w:rsidRPr="000C45FD" w:rsidRDefault="00141644" w:rsidP="00971F0E">
      <w:pPr>
        <w:pStyle w:val="1"/>
        <w:numPr>
          <w:ilvl w:val="0"/>
          <w:numId w:val="1"/>
        </w:numPr>
        <w:jc w:val="both"/>
        <w:rPr>
          <w:rFonts w:ascii="Calibri" w:hAnsi="Calibri"/>
          <w:lang w:eastAsia="zh-CN"/>
        </w:rPr>
      </w:pPr>
      <w:r>
        <w:rPr>
          <w:rFonts w:ascii="Calibri" w:hAnsi="Calibri"/>
        </w:rPr>
        <w:t>Summary</w:t>
      </w:r>
    </w:p>
    <w:p w:rsidR="00687081" w:rsidRDefault="006F7557" w:rsidP="00971F0E">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971F0E">
        <w:t xml:space="preserve">our view on </w:t>
      </w:r>
      <w:r w:rsidR="00971F0E" w:rsidRPr="00971F0E">
        <w:t>SSB configured for aperiodic L1-RSRP reporting on FR2</w:t>
      </w:r>
      <w:r w:rsidR="00971F0E">
        <w:t xml:space="preserve"> is provided</w:t>
      </w:r>
      <w:r w:rsidR="000D3205" w:rsidRPr="00A45739">
        <w:t>. We have the following observations and proposals</w:t>
      </w:r>
      <w:r w:rsidR="007E7E51" w:rsidRPr="00A45739">
        <w:t>:</w:t>
      </w:r>
    </w:p>
    <w:p w:rsidR="00971F0E" w:rsidRPr="00971F0E" w:rsidRDefault="00971F0E" w:rsidP="00971F0E">
      <w:pPr>
        <w:adjustRightInd w:val="0"/>
        <w:snapToGrid w:val="0"/>
        <w:spacing w:before="180" w:after="120"/>
        <w:jc w:val="both"/>
      </w:pPr>
      <w:r w:rsidRPr="00971F0E">
        <w:fldChar w:fldCharType="begin"/>
      </w:r>
      <w:r w:rsidRPr="00971F0E">
        <w:instrText xml:space="preserve"> REF _Ref37379437 \h  \* MERGEFORMAT </w:instrText>
      </w:r>
      <w:r w:rsidRPr="00971F0E">
        <w:fldChar w:fldCharType="separate"/>
      </w:r>
      <w:r w:rsidRPr="00971F0E">
        <w:rPr>
          <w:rFonts w:eastAsia="SimSun" w:cs="Arial"/>
          <w:b/>
          <w:bCs/>
        </w:rPr>
        <w:t xml:space="preserve">Observation </w:t>
      </w:r>
      <w:r w:rsidRPr="00971F0E">
        <w:rPr>
          <w:rFonts w:eastAsia="SimSun" w:cs="Arial"/>
          <w:b/>
          <w:bCs/>
          <w:noProof/>
        </w:rPr>
        <w:t>1</w:t>
      </w:r>
      <w:r w:rsidRPr="00971F0E">
        <w:rPr>
          <w:rFonts w:eastAsia="SimSun" w:cs="Arial"/>
          <w:b/>
          <w:bCs/>
        </w:rPr>
        <w:t xml:space="preserve">: </w:t>
      </w:r>
      <w:r w:rsidRPr="00971F0E">
        <w:rPr>
          <w:b/>
        </w:rPr>
        <w:t>When the reporting type is aperiodic and the scheduling restriction is based on the reporting triggering, measurement time will be insufficient for the SSB based L1-RSRP in FR2, and it will not meet the corresponding accuracy requirement.</w:t>
      </w:r>
      <w:r w:rsidRPr="00971F0E">
        <w:fldChar w:fldCharType="end"/>
      </w:r>
    </w:p>
    <w:p w:rsidR="00971F0E" w:rsidRPr="00971F0E" w:rsidRDefault="00971F0E" w:rsidP="00971F0E">
      <w:pPr>
        <w:adjustRightInd w:val="0"/>
        <w:snapToGrid w:val="0"/>
        <w:spacing w:before="180" w:after="120"/>
        <w:jc w:val="both"/>
        <w:rPr>
          <w:b/>
        </w:rPr>
      </w:pPr>
      <w:r w:rsidRPr="00971F0E">
        <w:rPr>
          <w:b/>
        </w:rPr>
        <w:fldChar w:fldCharType="begin"/>
      </w:r>
      <w:r w:rsidRPr="00971F0E">
        <w:rPr>
          <w:b/>
        </w:rPr>
        <w:instrText xml:space="preserve"> REF _Ref37379439 \h  \* MERGEFORMAT </w:instrText>
      </w:r>
      <w:r w:rsidRPr="00971F0E">
        <w:rPr>
          <w:b/>
        </w:rPr>
      </w:r>
      <w:r w:rsidRPr="00971F0E">
        <w:rPr>
          <w:b/>
        </w:rPr>
        <w:fldChar w:fldCharType="separate"/>
      </w:r>
      <w:r w:rsidRPr="00971F0E">
        <w:rPr>
          <w:rFonts w:eastAsia="SimSun" w:cs="Arial"/>
          <w:b/>
          <w:bCs/>
        </w:rPr>
        <w:t xml:space="preserve">Observation </w:t>
      </w:r>
      <w:r w:rsidRPr="00971F0E">
        <w:rPr>
          <w:rFonts w:eastAsia="SimSun" w:cs="Arial"/>
          <w:b/>
          <w:bCs/>
          <w:noProof/>
        </w:rPr>
        <w:t>2</w:t>
      </w:r>
      <w:r w:rsidRPr="00971F0E">
        <w:rPr>
          <w:rFonts w:eastAsia="SimSun" w:cs="Arial"/>
          <w:b/>
          <w:bCs/>
        </w:rPr>
        <w:t xml:space="preserve">: </w:t>
      </w:r>
      <w:r w:rsidRPr="00971F0E">
        <w:rPr>
          <w:rFonts w:ascii="Calibri" w:eastAsia="SimSun" w:hAnsi="Calibri" w:cs="Arial"/>
          <w:b/>
          <w:bCs/>
        </w:rPr>
        <w:t>Scheduling restriction should apply on the SSB configured for L1-RSRP measurement, no matter if the reporting type is periodic, semi-persistent or aperiodic, in order to provide the specified measurement time for SSB based L1-RSRP in FR2.</w:t>
      </w:r>
      <w:r w:rsidRPr="00971F0E">
        <w:rPr>
          <w:b/>
        </w:rPr>
        <w:fldChar w:fldCharType="end"/>
      </w:r>
    </w:p>
    <w:p w:rsidR="00D13F73" w:rsidRPr="00971F0E" w:rsidRDefault="00D13F73" w:rsidP="00D13F73">
      <w:pPr>
        <w:pStyle w:val="af1"/>
        <w:jc w:val="both"/>
        <w:rPr>
          <w:rFonts w:ascii="Calibri" w:eastAsia="SimSun" w:hAnsi="Calibri" w:cs="Arial"/>
          <w:bCs/>
          <w:sz w:val="22"/>
          <w:szCs w:val="22"/>
        </w:rPr>
      </w:pPr>
      <w:r w:rsidRPr="00971F0E">
        <w:rPr>
          <w:rFonts w:ascii="Calibri" w:eastAsia="SimSun" w:hAnsi="Calibri" w:cs="Arial"/>
          <w:bCs/>
          <w:sz w:val="22"/>
          <w:szCs w:val="22"/>
        </w:rPr>
        <w:t xml:space="preserve">Proposal </w:t>
      </w:r>
      <w:r w:rsidRPr="00971F0E">
        <w:rPr>
          <w:rFonts w:ascii="Calibri" w:eastAsia="SimSun" w:hAnsi="Calibri" w:cs="Arial"/>
          <w:bCs/>
          <w:sz w:val="22"/>
          <w:szCs w:val="22"/>
        </w:rPr>
        <w:fldChar w:fldCharType="begin"/>
      </w:r>
      <w:r w:rsidRPr="00971F0E">
        <w:rPr>
          <w:rFonts w:ascii="Calibri" w:eastAsia="SimSun" w:hAnsi="Calibri" w:cs="Arial"/>
          <w:bCs/>
          <w:sz w:val="22"/>
          <w:szCs w:val="22"/>
        </w:rPr>
        <w:instrText xml:space="preserve"> SEQ Proposal \* ARABIC </w:instrText>
      </w:r>
      <w:r w:rsidRPr="00971F0E">
        <w:rPr>
          <w:rFonts w:ascii="Calibri" w:eastAsia="SimSun" w:hAnsi="Calibri" w:cs="Arial"/>
          <w:bCs/>
          <w:sz w:val="22"/>
          <w:szCs w:val="22"/>
        </w:rPr>
        <w:fldChar w:fldCharType="separate"/>
      </w:r>
      <w:r w:rsidRPr="00971F0E">
        <w:rPr>
          <w:rFonts w:ascii="Calibri" w:eastAsia="SimSun" w:hAnsi="Calibri" w:cs="Arial"/>
          <w:bCs/>
          <w:noProof/>
          <w:sz w:val="22"/>
          <w:szCs w:val="22"/>
        </w:rPr>
        <w:t>1</w:t>
      </w:r>
      <w:r w:rsidRPr="00971F0E">
        <w:rPr>
          <w:rFonts w:ascii="Calibri" w:eastAsia="SimSun" w:hAnsi="Calibri" w:cs="Arial"/>
          <w:bCs/>
          <w:sz w:val="22"/>
          <w:szCs w:val="22"/>
        </w:rPr>
        <w:fldChar w:fldCharType="end"/>
      </w:r>
      <w:r w:rsidRPr="00971F0E">
        <w:rPr>
          <w:rFonts w:ascii="Calibri" w:eastAsia="SimSun" w:hAnsi="Calibri" w:cs="Arial"/>
          <w:bCs/>
          <w:sz w:val="22"/>
          <w:szCs w:val="22"/>
        </w:rPr>
        <w:t xml:space="preserve">: Down-select one of the following options, </w:t>
      </w:r>
    </w:p>
    <w:p w:rsidR="00D13F73" w:rsidRPr="00971F0E" w:rsidRDefault="00D13F73" w:rsidP="00D13F73">
      <w:pPr>
        <w:pStyle w:val="af5"/>
        <w:numPr>
          <w:ilvl w:val="0"/>
          <w:numId w:val="13"/>
        </w:numPr>
        <w:rPr>
          <w:b/>
        </w:rPr>
      </w:pPr>
      <w:r w:rsidRPr="00971F0E">
        <w:rPr>
          <w:rFonts w:ascii="Calibri" w:eastAsia="SimSun" w:hAnsi="Calibri" w:cs="Arial"/>
          <w:b/>
          <w:bCs/>
        </w:rPr>
        <w:t xml:space="preserve">Option 1: L1-RSRP accuracy requirement doesn’t apply for SSB based L1-RSRP in FR2, when the reporting type is aperiodic.  </w:t>
      </w:r>
    </w:p>
    <w:p w:rsidR="00D13F73" w:rsidRPr="00971F0E" w:rsidRDefault="00D13F73" w:rsidP="00D13F73">
      <w:pPr>
        <w:pStyle w:val="af5"/>
        <w:numPr>
          <w:ilvl w:val="0"/>
          <w:numId w:val="13"/>
        </w:numPr>
        <w:rPr>
          <w:b/>
        </w:rPr>
      </w:pPr>
      <w:r w:rsidRPr="00971F0E">
        <w:rPr>
          <w:b/>
        </w:rPr>
        <w:t>Option</w:t>
      </w:r>
      <w:r>
        <w:rPr>
          <w:b/>
        </w:rPr>
        <w:t xml:space="preserve"> </w:t>
      </w:r>
      <w:r w:rsidRPr="00971F0E">
        <w:rPr>
          <w:b/>
        </w:rPr>
        <w:t xml:space="preserve">2: </w:t>
      </w:r>
      <w:r w:rsidRPr="00971F0E">
        <w:rPr>
          <w:rFonts w:ascii="Calibri" w:eastAsia="SimSun" w:hAnsi="Calibri" w:cs="Arial"/>
          <w:b/>
          <w:bCs/>
        </w:rPr>
        <w:t xml:space="preserve">Scheduling restriction should apply </w:t>
      </w:r>
      <w:r w:rsidRPr="00971F0E">
        <w:rPr>
          <w:rFonts w:ascii="Calibri" w:eastAsia="SimSun" w:hAnsi="Calibri" w:cs="Arial"/>
          <w:b/>
          <w:bCs/>
          <w:lang w:eastAsia="zh-TW"/>
        </w:rPr>
        <w:t>o</w:t>
      </w:r>
      <w:r w:rsidRPr="00971F0E">
        <w:rPr>
          <w:rFonts w:ascii="Calibri" w:eastAsia="SimSun" w:hAnsi="Calibri" w:cs="Arial"/>
          <w:b/>
          <w:bCs/>
        </w:rPr>
        <w:t>n</w:t>
      </w:r>
      <w:r>
        <w:rPr>
          <w:rFonts w:ascii="Calibri" w:eastAsia="SimSun" w:hAnsi="Calibri" w:cs="Arial"/>
          <w:b/>
          <w:bCs/>
        </w:rPr>
        <w:t>ce</w:t>
      </w:r>
      <w:r w:rsidRPr="00971F0E">
        <w:rPr>
          <w:rFonts w:ascii="Calibri" w:eastAsia="SimSun" w:hAnsi="Calibri" w:cs="Arial"/>
          <w:b/>
          <w:bCs/>
        </w:rPr>
        <w:t xml:space="preserve"> the SSB </w:t>
      </w:r>
      <w:r>
        <w:rPr>
          <w:rFonts w:ascii="Calibri" w:eastAsia="SimSun" w:hAnsi="Calibri" w:cs="Arial"/>
          <w:b/>
          <w:bCs/>
        </w:rPr>
        <w:t xml:space="preserve">is </w:t>
      </w:r>
      <w:r w:rsidRPr="00971F0E">
        <w:rPr>
          <w:rFonts w:ascii="Calibri" w:eastAsia="SimSun" w:hAnsi="Calibri" w:cs="Arial"/>
          <w:b/>
          <w:bCs/>
        </w:rPr>
        <w:t>configured for L1-RSRP measurement, no matter the reporting type is periodic, semi-persistent or aperiodic.</w:t>
      </w:r>
    </w:p>
    <w:p w:rsidR="00D63646" w:rsidRPr="00192E1A" w:rsidRDefault="000F20AC" w:rsidP="00021661">
      <w:pPr>
        <w:pStyle w:val="1"/>
        <w:ind w:left="0" w:firstLine="0"/>
        <w:rPr>
          <w:rFonts w:ascii="Calibri" w:hAnsi="Calibri"/>
        </w:rPr>
      </w:pPr>
      <w:r w:rsidRPr="00192E1A">
        <w:rPr>
          <w:rFonts w:ascii="Calibri" w:hAnsi="Calibri"/>
        </w:rPr>
        <w:t>References</w:t>
      </w:r>
    </w:p>
    <w:p w:rsidR="00545225" w:rsidRPr="00545225" w:rsidRDefault="00B5473B" w:rsidP="00971F0E">
      <w:pPr>
        <w:rPr>
          <w:lang w:eastAsia="en-US"/>
        </w:rPr>
      </w:pPr>
      <w:r w:rsidRPr="005470E7">
        <w:rPr>
          <w:lang w:val="en-GB" w:eastAsia="en-US"/>
        </w:rPr>
        <w:t xml:space="preserve">[1] </w:t>
      </w:r>
      <w:r w:rsidR="00971F0E">
        <w:rPr>
          <w:lang w:val="en-GB" w:eastAsia="en-US"/>
        </w:rPr>
        <w:t>TS 38.133.</w:t>
      </w:r>
    </w:p>
    <w:p w:rsidR="00AF583C" w:rsidRPr="00A4463B" w:rsidRDefault="00AF583C" w:rsidP="00B5473B">
      <w:pPr>
        <w:rPr>
          <w:rFonts w:eastAsia="新細明體" w:cs="Calibri"/>
          <w:color w:val="0D0D0D"/>
        </w:rPr>
      </w:pPr>
    </w:p>
    <w:sectPr w:rsidR="00AF583C"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787" w:rsidRDefault="00467787">
      <w:r>
        <w:separator/>
      </w:r>
    </w:p>
  </w:endnote>
  <w:endnote w:type="continuationSeparator" w:id="0">
    <w:p w:rsidR="00467787" w:rsidRDefault="00467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787" w:rsidRDefault="00467787">
      <w:r>
        <w:separator/>
      </w:r>
    </w:p>
  </w:footnote>
  <w:footnote w:type="continuationSeparator" w:id="0">
    <w:p w:rsidR="00467787" w:rsidRDefault="004677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C3554D"/>
    <w:multiLevelType w:val="hybridMultilevel"/>
    <w:tmpl w:val="66CE7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10"/>
  </w:num>
  <w:num w:numId="5">
    <w:abstractNumId w:val="6"/>
  </w:num>
  <w:num w:numId="6">
    <w:abstractNumId w:val="3"/>
  </w:num>
  <w:num w:numId="7">
    <w:abstractNumId w:val="9"/>
  </w:num>
  <w:num w:numId="8">
    <w:abstractNumId w:val="7"/>
  </w:num>
  <w:num w:numId="9">
    <w:abstractNumId w:val="8"/>
  </w:num>
  <w:num w:numId="10">
    <w:abstractNumId w:val="0"/>
  </w:num>
  <w:num w:numId="11">
    <w:abstractNumId w:val="4"/>
  </w:num>
  <w:num w:numId="12">
    <w:abstractNumId w:val="12"/>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1A6B"/>
    <w:rsid w:val="000520C4"/>
    <w:rsid w:val="00052255"/>
    <w:rsid w:val="000525F9"/>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22E"/>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963"/>
    <w:rsid w:val="000F0CA9"/>
    <w:rsid w:val="000F0E8B"/>
    <w:rsid w:val="000F1031"/>
    <w:rsid w:val="000F1B61"/>
    <w:rsid w:val="000F1C3F"/>
    <w:rsid w:val="000F20AC"/>
    <w:rsid w:val="000F2F02"/>
    <w:rsid w:val="000F3186"/>
    <w:rsid w:val="000F35FB"/>
    <w:rsid w:val="000F38B9"/>
    <w:rsid w:val="000F3B28"/>
    <w:rsid w:val="000F3DCF"/>
    <w:rsid w:val="000F4581"/>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98B"/>
    <w:rsid w:val="00135B09"/>
    <w:rsid w:val="00136167"/>
    <w:rsid w:val="0013646F"/>
    <w:rsid w:val="001366B0"/>
    <w:rsid w:val="00136CBF"/>
    <w:rsid w:val="00136F57"/>
    <w:rsid w:val="001372E1"/>
    <w:rsid w:val="001373D9"/>
    <w:rsid w:val="00137807"/>
    <w:rsid w:val="00137C84"/>
    <w:rsid w:val="00137D78"/>
    <w:rsid w:val="00140140"/>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2B8"/>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9FC"/>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18C"/>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752"/>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0C9"/>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B8E"/>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19D"/>
    <w:rsid w:val="003D1720"/>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87"/>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452"/>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2FFA"/>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3D6F"/>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C783D"/>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59AF"/>
    <w:rsid w:val="0071627F"/>
    <w:rsid w:val="00716E8B"/>
    <w:rsid w:val="00716EDB"/>
    <w:rsid w:val="0071705B"/>
    <w:rsid w:val="00717418"/>
    <w:rsid w:val="0071788C"/>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677F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67C"/>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20AB"/>
    <w:rsid w:val="007D214D"/>
    <w:rsid w:val="007D255F"/>
    <w:rsid w:val="007D2866"/>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348"/>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2DE"/>
    <w:rsid w:val="007F48DD"/>
    <w:rsid w:val="007F4E8A"/>
    <w:rsid w:val="007F52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143"/>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7BE"/>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341E"/>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0E"/>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1EB2"/>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26B"/>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018"/>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627"/>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3F73"/>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57D"/>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E58"/>
    <w:rsid w:val="00DA0F1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72F"/>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D3"/>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6ECF"/>
    <w:rsid w:val="00E5789B"/>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29C"/>
    <w:rsid w:val="00E65995"/>
    <w:rsid w:val="00E65C1A"/>
    <w:rsid w:val="00E65F33"/>
    <w:rsid w:val="00E66160"/>
    <w:rsid w:val="00E66BB3"/>
    <w:rsid w:val="00E67F60"/>
    <w:rsid w:val="00E67FFA"/>
    <w:rsid w:val="00E70787"/>
    <w:rsid w:val="00E71A4E"/>
    <w:rsid w:val="00E71C13"/>
    <w:rsid w:val="00E728BD"/>
    <w:rsid w:val="00E72A27"/>
    <w:rsid w:val="00E73C4D"/>
    <w:rsid w:val="00E7403B"/>
    <w:rsid w:val="00E743B6"/>
    <w:rsid w:val="00E74E22"/>
    <w:rsid w:val="00E75041"/>
    <w:rsid w:val="00E754C1"/>
    <w:rsid w:val="00E754FB"/>
    <w:rsid w:val="00E757F7"/>
    <w:rsid w:val="00E75ADB"/>
    <w:rsid w:val="00E75EC8"/>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0D1B"/>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1DD"/>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AC7"/>
    <w:rsid w:val="00F76F2B"/>
    <w:rsid w:val="00F76F5F"/>
    <w:rsid w:val="00F7762C"/>
    <w:rsid w:val="00F776C4"/>
    <w:rsid w:val="00F8039C"/>
    <w:rsid w:val="00F810BB"/>
    <w:rsid w:val="00F81169"/>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0CB1"/>
    <w:rsid w:val="00F9105D"/>
    <w:rsid w:val="00F91426"/>
    <w:rsid w:val="00F91545"/>
    <w:rsid w:val="00F9159A"/>
    <w:rsid w:val="00F915B3"/>
    <w:rsid w:val="00F91CFC"/>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8BB"/>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57D"/>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5557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5557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64474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2007739">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789C9-F779-4796-8F4B-F7F19D872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854</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2020-04-08T02:37:00Z</dcterms:created>
  <dcterms:modified xsi:type="dcterms:W3CDTF">2020-04-10T06:18:00Z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